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440"/>
        <w:gridCol w:w="560"/>
        <w:gridCol w:w="240"/>
        <w:gridCol w:w="1920"/>
        <w:gridCol w:w="580"/>
        <w:gridCol w:w="1100"/>
        <w:gridCol w:w="660"/>
        <w:gridCol w:w="440"/>
        <w:gridCol w:w="900"/>
        <w:gridCol w:w="420"/>
        <w:gridCol w:w="680"/>
        <w:gridCol w:w="1100"/>
        <w:gridCol w:w="1100"/>
        <w:gridCol w:w="140"/>
        <w:gridCol w:w="20"/>
        <w:gridCol w:w="740"/>
        <w:gridCol w:w="1100"/>
        <w:gridCol w:w="1100"/>
        <w:gridCol w:w="540"/>
        <w:gridCol w:w="240"/>
        <w:gridCol w:w="320"/>
        <w:gridCol w:w="900"/>
        <w:gridCol w:w="1100"/>
        <w:gridCol w:w="60"/>
        <w:gridCol w:w="80"/>
        <w:gridCol w:w="360"/>
      </w:tblGrid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4.0"/>
                <w:b w:val="true"/>
              </w:rPr>
              <w:t xml:space="preserve">БЮДЖЕТНИЙ ЗАПИТ НА 2025 – 2027 РОКИ індивідуальний ( Форма 2025-2)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</w:rPr>
              <w:t xml:space="preserve">1.  </w:t>
            </w:r>
          </w:p>
        </w:tc>
        <w:tc>
          <w:tcPr>
            <w:gridSpan w:val="12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18.0"/>
                <w:b w:val="true"/>
              </w:rPr>
              <w:t xml:space="preserve">Управління розвитку та експлуатації житлово-комунального господарства Біляївської міської ради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41828540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головного розпорядника коштів місцевого бюджету)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Типової відомчої класифікації видатків та кредитування місцевого бюджету)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за ЄДРПОУ)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</w:rPr>
              <w:t xml:space="preserve">2.  </w:t>
            </w:r>
          </w:p>
        </w:tc>
        <w:tc>
          <w:tcPr>
            <w:gridSpan w:val="12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18.0"/>
              </w:rPr>
              <w:t xml:space="preserve">Управління розвитку та експлуатації житлово-комунального господарства Біляївської міської ради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bottom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121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bottom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41828540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відповідального виконавця)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Типової відомчої класифікації видатків та кредитування місцевого бюджету та номер в системі головного розпорядника коштів місцевого бюджету)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за ЄДРПОУ)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</w:rPr>
              <w:t xml:space="preserve">3.  </w:t>
            </w:r>
          </w:p>
        </w:tc>
        <w:tc>
          <w:tcPr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1218330</w:t>
            </w:r>
          </w:p>
        </w:tc>
        <w:tc>
          <w:tcPr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8330</w:t>
            </w:r>
          </w:p>
        </w:tc>
        <w:tc>
          <w:tcPr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0540</w:t>
            </w:r>
          </w:p>
        </w:tc>
        <w:tc>
          <w:tcPr>
            <w:gridSpan w:val="9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</w:rPr>
              <w:t xml:space="preserve">Інша діяльність у сфері екології та охорони природних ресурсів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1550200000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Програмної класифікації видатків та кредитування місцевого бюджету)</w:t>
            </w:r>
          </w:p>
        </w:tc>
        <w:tc>
          <w:tcPr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Типової програмної класифікації видатків та кредитування місцевого бюджету)</w:t>
            </w:r>
          </w:p>
        </w:tc>
        <w:tc>
          <w:tcPr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Функціональної класифікації видатків та кредитування бюджету)</w:t>
            </w:r>
          </w:p>
        </w:tc>
        <w:tc>
          <w:tcPr>
            <w:gridSpan w:val="9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бюджетної програми згідно з Типовою програмною класифікацією видатків та кредитування місцевого бюджету)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бюджету)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4. Мета та завдання бюджетної програми на 2025 - 2027 роки: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40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1) Мета бюджетної програми, строки її реалізації;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>
            <w:pPr>
              <w:ind w:left="500"/>
              <w:spacing w:lineRule="auto" w:line="240" w:after="200" w:before="0"/>
            </w:pPr>
            <w:r>
              <w:rPr>
                <w:rFonts w:ascii="Times New Roman" w:hAnsi="Times New Roman" w:eastAsia="Times New Roman" w:cs="Times New Roman"/>
              </w:rPr>
              <w:t xml:space="preserve">Забезпечення охорони навколишнього природного середовища.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40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2)  завдання бюджетної програми;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40" w:type="dxa"/>
              <w:left w:w="0" w:type="dxa"/>
              <w:bottom w:w="40" w:type="dxa"/>
              <w:right w:w="0" w:type="dxa"/>
            </w:tcMar>
            <w:vAlign w:val="top"/>
          </w:tcPr>
          <w:p>
            <w:pPr>
              <w:ind w:left="500"/>
            </w:pPr>
            <w:r>
              <w:rPr>
                <w:rFonts w:ascii="Times New Roman" w:hAnsi="Times New Roman" w:eastAsia="Times New Roman" w:cs="Times New Roman"/>
              </w:rPr>
              <w:t xml:space="preserve">Придбання саджанців квітів та дерев,Проведення робіт з ліквідації стихійного сміттєзвалища села Кагарлик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40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3) підстави реалізації бюджетної програми.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>
            <w:pPr>
              <w:ind w:left="500"/>
            </w:pPr>
            <w:r>
              <w:rPr>
                <w:rFonts w:ascii="Times New Roman" w:hAnsi="Times New Roman" w:eastAsia="Times New Roman" w:cs="Times New Roman"/>
              </w:rPr>
              <w:t xml:space="preserve">1. Конституція України; 2. Бюджетний кодекс України; 3. Проєкт Закону України "Про державний бюджет на 2025 рік"; 4. Закон України "Про місцеве самоврядування в Україні"; 5. Постанова КМУ від 28.02.2002 р. №228 "Про затвердження порядку складання, розгляду, затвердження та основних вимог до виконання кошторисів бюджетних установ"; 6. Наказ МФУ від 26.08.2014 р. №836 "Про деякі питання запровадження програмно-цільового методу складання та виконання місцевих бюджетів"; 7. Наказ МФУ від 27.07.2011 р. №945 "Про затвердження Примірного переліку результативних показників бюджетних програм для місцевих бюджетів за видатками, що можуть здійснюватися з усіх місцевих бюджетів"  (із змінами та доповненнями); 8. Рішення Біляївської міської ради від 21.12.2021 №489-16/VIII "Стратегія розвитку Біляївської міської територіальної громади Одеської області 2031 року".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5. Надходження для виконання бюджетної програми: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1) надходження для виконання бюджетної програми у 2023 - 2025 роках: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2023 рік (звіт)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2024 рік (затверджено)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2025 рік (проект)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у тому числі бюджет 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(3+4)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у тому числі бюджет 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(7+8)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у тому числі бюджет 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(11+12)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19010100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Екологічний податок, який справляється за викиди в атмосферне повітря 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18 000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18 000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20 000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23 000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23 000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40"/>
        <w:gridCol w:w="800"/>
        <w:gridCol w:w="2500"/>
        <w:gridCol w:w="1100"/>
        <w:gridCol w:w="1100"/>
        <w:gridCol w:w="900"/>
        <w:gridCol w:w="1100"/>
        <w:gridCol w:w="1100"/>
        <w:gridCol w:w="1100"/>
        <w:gridCol w:w="900"/>
        <w:gridCol w:w="1100"/>
        <w:gridCol w:w="1100"/>
        <w:gridCol w:w="1100"/>
        <w:gridCol w:w="900"/>
        <w:gridCol w:w="1100"/>
        <w:gridCol w:w="60"/>
        <w:gridCol w:w="440"/>
      </w:tblGrid>
      <w:tr>
        <w:trPr>
          <w:trHeight w:hRule="exact" w:val="44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забруднюючих речовин стаціонарними джерелами забруднення (за винятком викидів в атмосферне повітря двоокису вуглецю)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19010200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Надходження від скидів забруднюючих речовин безпосередньо у водні об`єкти 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14 000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14 000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75 000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75 000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111 000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111 000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19010300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Надходження від розміщення відходів у спеціально відведених для цього місцях чи на об`єктах, крім розміщення окремих видів відходів як вторинної сировини 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19 926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19 926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22 000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22 000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84 000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84 000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3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24062100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Грошові стягнення за шкоду, заподіяну порушенням законодавства про охорону навколишнього природного середовища внаслідок господарської та іншої діяльності 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30 690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30 690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51 926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51 926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117 000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117 000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248 690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248 690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2) надходження для виконання бюджетної програми у 2026-2027 роках: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2026 рік (прогноз)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2027 рік (прогноз)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у тому числі бюджет 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(3+4)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у тому числі бюджет 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(7+8)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19010100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Екологічний податок, який справляється за викиди в атмосферне повітря забруднюючих речовин стаціонарними джерелами забруднення (за винятком викидів в атмосферне повітря двоокису вуглецю)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25 390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25 390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26 890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26 890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19010200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Надходження від скидів забруднюючих речовин безпосередньо у водні об`єкти 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122 550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122 550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129 780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129 780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19010300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Надходження від розміщення відходів у спеціально відведених для цього місцях чи на об`єктах, крім розміщення окремих видів відходів як вторинної сировини 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92 740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92 740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98 210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98 210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3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24062100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Грошові стягнення за шкоду, заподіяну порушенням законодавства про охорону навколишнього природного середовища внаслідок господарської та іншої діяльності 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33 920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33 920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35 920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35 920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40"/>
        <w:gridCol w:w="800"/>
        <w:gridCol w:w="200"/>
        <w:gridCol w:w="2300"/>
        <w:gridCol w:w="680"/>
        <w:gridCol w:w="420"/>
        <w:gridCol w:w="580"/>
        <w:gridCol w:w="520"/>
        <w:gridCol w:w="480"/>
        <w:gridCol w:w="420"/>
        <w:gridCol w:w="580"/>
        <w:gridCol w:w="520"/>
        <w:gridCol w:w="480"/>
        <w:gridCol w:w="620"/>
        <w:gridCol w:w="380"/>
        <w:gridCol w:w="720"/>
        <w:gridCol w:w="280"/>
        <w:gridCol w:w="620"/>
        <w:gridCol w:w="380"/>
        <w:gridCol w:w="720"/>
        <w:gridCol w:w="280"/>
        <w:gridCol w:w="1000"/>
        <w:gridCol w:w="1000"/>
        <w:gridCol w:w="1000"/>
        <w:gridCol w:w="20"/>
        <w:gridCol w:w="960"/>
        <w:gridCol w:w="20"/>
        <w:gridCol w:w="20"/>
        <w:gridCol w:w="400"/>
      </w:tblGrid>
      <w:tr>
        <w:trPr>
          <w:trHeight w:hRule="exact" w:val="44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УСЬОГО: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274 600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274 600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290 800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290 800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6. Витрати за кодами Економічної класифікації видатків / Класифікації кредитування бюджету: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1) видатки за кодами Економічної класифікації видатків бюджету у 2023 - 2025 роках: </w:t>
            </w: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  <w:br/>
              <w:t xml:space="preserve">Економічної</w:t>
              <w:br/>
              <w:t xml:space="preserve">класифікації</w:t>
              <w:br/>
              <w:t xml:space="preserve">видатків</w:t>
              <w:br/>
              <w:t xml:space="preserve">бюджету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 </w:t>
            </w:r>
          </w:p>
        </w:tc>
        <w:tc>
          <w:tcPr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2023 рік(звіт)</w:t>
            </w:r>
          </w:p>
        </w:tc>
        <w:tc>
          <w:tcPr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2024 рік(затверджено)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2025 рік(проект)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2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(3+4)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(7+8)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(11+12)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2282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51 926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51 926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117 000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117 000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248 690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248 690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51 926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51 926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117 000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117 000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248 690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248 690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2) надання кредитів за кодами Класифікації кредитування бюджету у 2023 - 2025 роках: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  <w:br/>
              <w:t xml:space="preserve">Класифікації</w:t>
              <w:br/>
              <w:t xml:space="preserve">кредитування</w:t>
              <w:br/>
              <w:t xml:space="preserve">бюджету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 </w:t>
            </w:r>
          </w:p>
        </w:tc>
        <w:tc>
          <w:tcPr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2023 рік(звіт)</w:t>
            </w:r>
          </w:p>
        </w:tc>
        <w:tc>
          <w:tcPr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2024 рік(затверджено)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2025 рік(проект)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2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(3+4)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(7+8)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(11+12)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3) видатки за кодами Економічної класифікації видатків бюджету у  2026 - 2027 роках: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  <w:br/>
              <w:t xml:space="preserve">Економічної</w:t>
              <w:br/>
              <w:t xml:space="preserve">класифікації</w:t>
              <w:br/>
              <w:t xml:space="preserve">видатків</w:t>
              <w:br/>
              <w:t xml:space="preserve">бюджету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 </w:t>
            </w:r>
          </w:p>
        </w:tc>
        <w:tc>
          <w:tcPr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рік(прогноз)</w:t>
            </w:r>
          </w:p>
        </w:tc>
        <w:tc>
          <w:tcPr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рік(прогноз)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2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(3+4)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(7+8)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2282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274 600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274 600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290 800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290 800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ВСЬОГО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274 600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274 600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290 800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290 800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600"/>
        <w:gridCol w:w="440"/>
        <w:gridCol w:w="298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2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4) надання кредитів за кодами Класифікації кредитування бюджету у   2026 - 2027 роках: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  <w:br/>
              <w:t xml:space="preserve">Класифікації</w:t>
              <w:br/>
              <w:t xml:space="preserve">кредитування</w:t>
              <w:br/>
              <w:t xml:space="preserve">бюджету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 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рік(прогноз)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рік(прогноз)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(3+4)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(7+8)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7. Витрати за напрямами використання бюджетних коштів: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1) витрати за напрямами використання бюджетних коштів у 2023 - 2025 роках: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N</w:t>
              <w:br/>
              <w:t xml:space="preserve">з/п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Напрями</w:t>
              <w:br/>
              <w:t xml:space="preserve">використання</w:t>
              <w:br/>
              <w:t xml:space="preserve">бюджетних</w:t>
              <w:br/>
              <w:t xml:space="preserve">коштів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2023 рік(звіт)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2024 рік(затверджено)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2025 рік(проект)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6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(3+4)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(7+8)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(11+12)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Придбання саджанців квітів та дерев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51 926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51 926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98 000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98 000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99 000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99 000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Придбання контейнерів для збору ТПВ без кришки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19 000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19 000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149 690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149 690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51 926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51 926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117 000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117 000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248 690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248 690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2) витрати за напрямами використання бюджетних коштів у  2026 - 2027 роках: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N</w:t>
              <w:br/>
              <w:t xml:space="preserve">з/п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Напрями</w:t>
              <w:br/>
              <w:t xml:space="preserve">використання</w:t>
              <w:br/>
              <w:t xml:space="preserve">бюджетних</w:t>
              <w:br/>
              <w:t xml:space="preserve">коштів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рік(прогноз)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рік(прогноз)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6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(3+4)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(7+8)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Придбання саджанців квітів та дерев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274 600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274 600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290 800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290 800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274 600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274 600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290 800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290 800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8. Результативні показники бюджетної програми: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600"/>
        <w:gridCol w:w="3420"/>
        <w:gridCol w:w="1080"/>
        <w:gridCol w:w="184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1) результативні показники бюджетної програми у 2023 - 2025 роках: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N</w:t>
              <w:br/>
              <w:t xml:space="preserve">з/п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Показники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Одиниця виміру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Джерело інформації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2023 рік(звіт)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2024 рік(затверджено)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2025 рік(проект)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(5 + 6)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(8 + 9)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(11 + 12)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Затрат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обсяг фінансування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рішення сесії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51926,00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51926,00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98000,00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98000,00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99000,00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99000,00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обсяг фінансування на ліквідацію стихійного сміттєзвалища села Кагарлик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рішення сесії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19000,00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19000,00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обсяг фінансування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рішення сесії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149690,00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149690,00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Продукту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саджанців, які планується придбати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шт.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накладна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413,00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413,00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508,00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508,00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499,00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499,00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сміттєзвалищ, які планується ліквідувати в с.Кагарлик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од.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контейнерів для збору ТПВ без кришки, які планується придбати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од.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Ефективності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середні видатки на придбання 1 саджанця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накладна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125,73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125,73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192,91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192,91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198,40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198,40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середні видатки на ліквідацію 1 сміттєзвалища с.Кагарлик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19000,00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19000,00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середні видатки на придбання 1 контейнеру для збору ТПВ без кришки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18711,25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18711,25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Якості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фактично придбаних саджанців до запланованих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відс.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фактично ліквідованих сміттєзвалищ до запланованих в с.Кагарлик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відс.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фактично придбаних контейнерів для збору ТПВ без кришки до запланованих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відс.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2) результативні показники бюджетної програми у   2026-2027 роках: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N</w:t>
              <w:br/>
              <w:t xml:space="preserve">з/п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Показники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Одиниця виміру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Джерело інформації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рік(прогноз)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рік(прогноз)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(5 + 6)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(8 + 9)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Затрат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обсяг фінансування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рішення сесії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274600,00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274600,00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290800,00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290800,00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Продукту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саджанців, які планується придбати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шт.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накладна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422,00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422,00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422,00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422,00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Ефективності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середні видатки на придбання 1 саджанця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накладна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650,71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650,71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689,10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689,10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Якості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фактично придбаних саджанців до 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відс.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40"/>
        <w:gridCol w:w="380"/>
        <w:gridCol w:w="180"/>
        <w:gridCol w:w="40"/>
        <w:gridCol w:w="2560"/>
        <w:gridCol w:w="160"/>
        <w:gridCol w:w="660"/>
        <w:gridCol w:w="240"/>
        <w:gridCol w:w="840"/>
        <w:gridCol w:w="20"/>
        <w:gridCol w:w="40"/>
        <w:gridCol w:w="720"/>
        <w:gridCol w:w="180"/>
        <w:gridCol w:w="60"/>
        <w:gridCol w:w="820"/>
        <w:gridCol w:w="20"/>
        <w:gridCol w:w="20"/>
        <w:gridCol w:w="140"/>
        <w:gridCol w:w="740"/>
        <w:gridCol w:w="80"/>
        <w:gridCol w:w="140"/>
        <w:gridCol w:w="40"/>
        <w:gridCol w:w="640"/>
        <w:gridCol w:w="180"/>
        <w:gridCol w:w="180"/>
        <w:gridCol w:w="60"/>
        <w:gridCol w:w="480"/>
        <w:gridCol w:w="280"/>
        <w:gridCol w:w="180"/>
        <w:gridCol w:w="160"/>
        <w:gridCol w:w="280"/>
        <w:gridCol w:w="380"/>
        <w:gridCol w:w="180"/>
        <w:gridCol w:w="260"/>
        <w:gridCol w:w="80"/>
        <w:gridCol w:w="480"/>
        <w:gridCol w:w="180"/>
        <w:gridCol w:w="240"/>
        <w:gridCol w:w="120"/>
        <w:gridCol w:w="460"/>
        <w:gridCol w:w="180"/>
        <w:gridCol w:w="140"/>
        <w:gridCol w:w="320"/>
        <w:gridCol w:w="540"/>
        <w:gridCol w:w="40"/>
        <w:gridCol w:w="520"/>
        <w:gridCol w:w="380"/>
        <w:gridCol w:w="60"/>
        <w:gridCol w:w="660"/>
        <w:gridCol w:w="180"/>
        <w:gridCol w:w="8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запланованих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9. Структура видатків на оплату праці:</w:t>
            </w: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</w:r>
          </w:p>
        </w:tc>
        <w:tc>
          <w:tcPr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2023 рік (звіт)</w:t>
            </w: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2024 рік (затверджено)</w:t>
            </w:r>
          </w:p>
        </w:tc>
        <w:tc>
          <w:tcPr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2025 рік (проект)</w:t>
            </w:r>
          </w:p>
        </w:tc>
        <w:tc>
          <w:tcPr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 (прогноз)</w:t>
            </w: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 (прогноз)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9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10. Чисельність зайнятих у бюджетних установах: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N</w:t>
              <w:br/>
              <w:t xml:space="preserve">з/п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Категорії працівників</w:t>
            </w:r>
          </w:p>
        </w:tc>
        <w:tc>
          <w:tcPr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2023 рік (звіт)</w:t>
            </w:r>
          </w:p>
        </w:tc>
        <w:tc>
          <w:tcPr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2024 рік (затверджено)</w:t>
            </w: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2025 рік </w:t>
            </w: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 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спеціальний фонд</w:t>
            </w: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спеціальний фонд</w:t>
            </w:r>
          </w:p>
        </w:tc>
        <w:tc>
          <w:tcPr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спеціальний фонд</w:t>
            </w:r>
          </w:p>
        </w:tc>
        <w:tc>
          <w:tcPr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спеціальний фонд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спеціальний фонд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затверджено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фактично</w:t>
              <w:br/>
              <w:t xml:space="preserve">зайняті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затверджено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фактично</w:t>
              <w:br/>
              <w:t xml:space="preserve">зайняті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затверджено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фактично</w:t>
              <w:br/>
              <w:t xml:space="preserve">зайняті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затверджено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фактично</w:t>
              <w:br/>
              <w:t xml:space="preserve">зайняті</w:t>
            </w:r>
          </w:p>
        </w:tc>
        <w:tc>
          <w:tcPr>
            <w:gridSpan w:val="4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4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15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top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40"/>
        </w:trPr>
        <w:tc>
          <w:tcPr>
     </w:tcPr>
          <w:p>
            <w:pPr>
              <w:pStyle w:val="EMPTY_CELL_STYLE"/>
            </w:pPr>
          </w:p>
        </w:tc>
        <w:tc>
          <w:tcPr>
            <w:gridSpan w:val="51"/>
            <w:tcMar>
              <w:top w:w="120" w:type="dxa"/>
              <w:left w:w="0" w:type="dxa"/>
              <w:bottom w:w="0" w:type="dxa"/>
              <w:right w:w="0" w:type="dxa"/>
            </w:tcMar>
          </w:tcPr>
          <w:p>
            <w:pPr>
              <w:ind w:left="60"/>
            </w:pPr>
            <w:r>
              <w:rPr>
                <w:rFonts w:ascii="Times New Roman" w:hAnsi="Times New Roman" w:eastAsia="Times New Roman" w:cs="Times New Roman"/>
                <w:sz w:val="22.0"/>
                <w:b w:val="true"/>
              </w:rPr>
              <w:t xml:space="preserve">11. Місцеві/регіональні програми, які виконуються в межах бюджетної програми: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4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1) місцеві/регіональні програми, які виконуються в межах бюджетної програми у 2023 - 2025 роках:</w:t>
            </w: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№ з/п</w:t>
            </w: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  <w:br/>
              <w:t xml:space="preserve">місцевої/регіональної</w:t>
              <w:br/>
              <w:t xml:space="preserve">програми</w:t>
            </w:r>
          </w:p>
        </w:tc>
        <w:tc>
          <w:tcPr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Коли та яким документом</w:t>
              <w:br/>
              <w:t xml:space="preserve">затверджена програма</w:t>
            </w:r>
          </w:p>
        </w:tc>
        <w:tc>
          <w:tcPr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2023 рік (звіт)</w:t>
            </w:r>
          </w:p>
        </w:tc>
        <w:tc>
          <w:tcPr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2024 рік (затверджено)</w:t>
            </w:r>
          </w:p>
        </w:tc>
        <w:tc>
          <w:tcPr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2025 рік (проект)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7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спеціальний фонд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разом</w:t>
              <w:br/>
              <w:t xml:space="preserve">(4 + 5)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спеціальний фонд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разом</w:t>
              <w:br/>
              <w:t xml:space="preserve">(7 + 8)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спеціальний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разом</w:t>
              <w:br/>
              <w:t xml:space="preserve">(10 + 11)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1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Комплексна програма охорони довкілля, раціонального використання природних ресурсів та забезпечення екологічної </w:t>
            </w: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№495-16/VIII від 21 грудня 2021 року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51 926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51 926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117 000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117 000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40"/>
        <w:gridCol w:w="380"/>
        <w:gridCol w:w="2200"/>
        <w:gridCol w:w="580"/>
        <w:gridCol w:w="480"/>
        <w:gridCol w:w="1100"/>
        <w:gridCol w:w="1100"/>
        <w:gridCol w:w="1000"/>
        <w:gridCol w:w="100"/>
        <w:gridCol w:w="1000"/>
        <w:gridCol w:w="100"/>
        <w:gridCol w:w="900"/>
        <w:gridCol w:w="200"/>
        <w:gridCol w:w="900"/>
        <w:gridCol w:w="200"/>
        <w:gridCol w:w="800"/>
        <w:gridCol w:w="300"/>
        <w:gridCol w:w="800"/>
        <w:gridCol w:w="300"/>
        <w:gridCol w:w="700"/>
        <w:gridCol w:w="400"/>
        <w:gridCol w:w="700"/>
        <w:gridCol w:w="400"/>
        <w:gridCol w:w="600"/>
        <w:gridCol w:w="500"/>
        <w:gridCol w:w="220"/>
        <w:gridCol w:w="40"/>
        <w:gridCol w:w="40"/>
        <w:gridCol w:w="36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безпеки в Біляївській міській територіальній громаді на 2022-2024 роки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Комплексна програма охорони довкілля, раціонального використання природних ресурсів та забезпечення екологічної безпеки в Біляївській міській територіальній громаді на 2025-2027 роки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№1498-55/VIII від 21 листопада 2024 року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248 690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248 690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51 926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51 926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117 000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117 000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248 690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248 690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2) місцеві/регіональні програми, які виконуються в межах бюджетної програми у 2026-2027 роках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№ з/п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  <w:br/>
              <w:t xml:space="preserve">місцевої/регіональної</w:t>
              <w:br/>
              <w:t xml:space="preserve">програми</w:t>
            </w: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Коли та яким документом</w:t>
              <w:br/>
              <w:t xml:space="preserve">затверджена програма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 (прогноз)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 (прогноз)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разом</w:t>
              <w:br/>
              <w:t xml:space="preserve">(4 + 5)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разом</w:t>
              <w:br/>
              <w:t xml:space="preserve">(7 + 8)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Комплексна програма охорони довкілля, раціонального використання природних ресурсів та забезпечення екологічної безпеки в Біляївській міській територіальній громаді на 2025-2027 роки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№1498-55/VIII від 21 листопада 2024 року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274 600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274 600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290 800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290 800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274 600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274 600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290 800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290 800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12. Об'єкти, які виконуються в межах бюджетної програми за рахунок коштів бюджету розвитку у 2023 - 2025 роках: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 об'єкта</w:t>
              <w:br/>
              <w:t xml:space="preserve">відповідно до проектно-</w:t>
              <w:br/>
              <w:t xml:space="preserve">кошторисної документації</w:t>
              <w:br/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Строк</w:t>
              <w:br/>
              <w:t xml:space="preserve">реалізації</w:t>
              <w:br/>
              <w:t xml:space="preserve">об'єкта (рік початку і завершення)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Загальна</w:t>
              <w:br/>
              <w:t xml:space="preserve">вартість</w:t>
              <w:br/>
              <w:t xml:space="preserve">об'єкта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2023 рік (звіт)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2024 рік (затверджено)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2025 рік (проект)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 (прогноз)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 (прогноз)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  <w:br/>
              <w:t xml:space="preserve">(бюджет</w:t>
              <w:br/>
              <w:t xml:space="preserve">розвитку)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рівень</w:t>
              <w:br/>
              <w:t xml:space="preserve">будівельної</w:t>
              <w:br/>
              <w:t xml:space="preserve">готовності</w:t>
              <w:br/>
              <w:t xml:space="preserve">об'єкта на</w:t>
              <w:br/>
              <w:t xml:space="preserve">кінець</w:t>
              <w:br/>
              <w:t xml:space="preserve">бюджетного</w:t>
              <w:br/>
              <w:t xml:space="preserve">періоду, %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  <w:br/>
              <w:t xml:space="preserve">(бюджет</w:t>
              <w:br/>
              <w:t xml:space="preserve">розвитку)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рівень</w:t>
              <w:br/>
              <w:t xml:space="preserve">будівельної</w:t>
              <w:br/>
              <w:t xml:space="preserve">готовності</w:t>
              <w:br/>
              <w:t xml:space="preserve">об'єкта на</w:t>
              <w:br/>
              <w:t xml:space="preserve">кінець</w:t>
              <w:br/>
              <w:t xml:space="preserve">бюджетного</w:t>
              <w:br/>
              <w:t xml:space="preserve">періоду, %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  <w:br/>
              <w:t xml:space="preserve">(бюджет</w:t>
              <w:br/>
              <w:t xml:space="preserve">розвитку)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рівень</w:t>
              <w:br/>
              <w:t xml:space="preserve">будівельної</w:t>
              <w:br/>
              <w:t xml:space="preserve">готовності</w:t>
              <w:br/>
              <w:t xml:space="preserve">об'єкта на</w:t>
              <w:br/>
              <w:t xml:space="preserve">кінець</w:t>
              <w:br/>
              <w:t xml:space="preserve">бюджетного</w:t>
              <w:br/>
              <w:t xml:space="preserve">періоду, %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  <w:br/>
              <w:t xml:space="preserve">(бюджет</w:t>
              <w:br/>
              <w:t xml:space="preserve">розвитку)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рівень</w:t>
              <w:br/>
              <w:t xml:space="preserve">будівельної</w:t>
              <w:br/>
              <w:t xml:space="preserve">готовності</w:t>
              <w:br/>
              <w:t xml:space="preserve">об'єкта на</w:t>
              <w:br/>
              <w:t xml:space="preserve">кінець</w:t>
              <w:br/>
              <w:t xml:space="preserve">бюджетного</w:t>
              <w:br/>
              <w:t xml:space="preserve">періоду, %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  <w:br/>
              <w:t xml:space="preserve">(бюджет</w:t>
              <w:br/>
              <w:t xml:space="preserve">розвитку)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рівень</w:t>
              <w:br/>
              <w:t xml:space="preserve">будівельної</w:t>
              <w:br/>
              <w:t xml:space="preserve">готовності</w:t>
              <w:br/>
              <w:t xml:space="preserve">об'єкта на</w:t>
              <w:br/>
              <w:t xml:space="preserve">кінець</w:t>
              <w:br/>
              <w:t xml:space="preserve">бюджетного</w:t>
              <w:br/>
              <w:t xml:space="preserve">періоду, 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13. Аналіз результатів, досягнутих внаслідок використання коштів загального фонду бюджету у 2023 році, очікувані результати у 2024 році, обґрунтування необхідності передбачення витрат на 2025 - 2027 роки.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7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>
            <w:pPr>
              <w:ind/>
              <w:spacing w:lineRule="auto" w:line="240" w:after="200" w:before="0"/>
            </w:pPr>
            <w:r>
              <w:rPr>
                <w:rFonts w:ascii="Times New Roman" w:hAnsi="Times New Roman" w:eastAsia="Times New Roman" w:cs="Times New Roman"/>
              </w:rPr>
              <w:t xml:space="preserve">З метою забезпечення охорони навколишнього природного середовища у 2023 використано кошти в сумі 51926,00 гривень, На 2024 рік заплановано кошти в сумі 117000,00 гривень. На 2025 рік граничний обсяг складає 248690,00 гривень.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14. Бюджетні зобов'язання у 2023 і 2025 роках :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1140"/>
        <w:gridCol w:w="2840"/>
        <w:gridCol w:w="1060"/>
        <w:gridCol w:w="140"/>
        <w:gridCol w:w="1200"/>
        <w:gridCol w:w="60"/>
        <w:gridCol w:w="1140"/>
        <w:gridCol w:w="260"/>
        <w:gridCol w:w="940"/>
        <w:gridCol w:w="460"/>
        <w:gridCol w:w="740"/>
        <w:gridCol w:w="660"/>
        <w:gridCol w:w="540"/>
        <w:gridCol w:w="860"/>
        <w:gridCol w:w="340"/>
        <w:gridCol w:w="1200"/>
        <w:gridCol w:w="460"/>
        <w:gridCol w:w="740"/>
        <w:gridCol w:w="126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1) кредиторська заборгованість місцевого бюджету у 2023 році: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6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  <w:br/>
              <w:t xml:space="preserve">Економічної</w:t>
              <w:br/>
              <w:t xml:space="preserve">класифікації</w:t>
              <w:br/>
              <w:t xml:space="preserve">видатків</w:t>
              <w:br/>
              <w:t xml:space="preserve">бюджету / код</w:t>
              <w:br/>
              <w:t xml:space="preserve">Класифікації</w:t>
              <w:br/>
              <w:t xml:space="preserve">кредитування</w:t>
              <w:br/>
              <w:t xml:space="preserve">бюджету</w:t>
            </w:r>
          </w:p>
        </w:tc>
        <w:tc>
          <w:tcPr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Затверджено з урахуванням змін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Касові</w:t>
              <w:br/>
              <w:t xml:space="preserve">видатки /</w:t>
              <w:br/>
              <w:t xml:space="preserve">надання</w:t>
              <w:br/>
              <w:t xml:space="preserve">кредитів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Кредиторська заборгованість на початок минулого бюджетного періоду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Кредиторська заборгованість на кінець минулого бюджетного періоду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Зміна кредиторської заборгованості(6-5)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Погашено кредиторську</w:t>
              <w:br/>
              <w:t xml:space="preserve">заборгованість за рахунок</w:t>
              <w:br/>
              <w:t xml:space="preserve">коштів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Бюджетні зобов'язання (4+6)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4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4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загального фонду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спеціального фонду</w:t>
            </w: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2282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52 000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51 926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51 926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52 000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51 926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51 926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2) кредиторська заборгованість місцевого бюджету у   2024-2025 роках: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  <w:br/>
              <w:t xml:space="preserve">Економічної</w:t>
              <w:br/>
              <w:t xml:space="preserve">класифікації</w:t>
              <w:br/>
              <w:t xml:space="preserve">видатків</w:t>
              <w:br/>
              <w:t xml:space="preserve">бюджету / код</w:t>
              <w:br/>
              <w:t xml:space="preserve">Класифікації</w:t>
              <w:br/>
              <w:t xml:space="preserve">кредитування</w:t>
              <w:br/>
              <w:t xml:space="preserve">бюджету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</w:r>
          </w:p>
        </w:tc>
        <w:tc>
          <w:tcPr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2024 рік</w:t>
            </w:r>
          </w:p>
        </w:tc>
        <w:tc>
          <w:tcPr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2025 рік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8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затверджені призначення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кредиторська заборгованість на початок поточного бюджетного періоду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планується погасити</w:t>
              <w:br/>
              <w:t xml:space="preserve">кредиторську</w:t>
              <w:br/>
              <w:t xml:space="preserve">заборгованість за</w:t>
              <w:br/>
              <w:t xml:space="preserve">рахунок коштів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очікуваний обсяг взяття поточних зобов'язань</w:t>
              <w:br/>
              <w:t xml:space="preserve">(3-5)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граничний обсяг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можлива кредиторська заборгованість на початок планового бюджетного періоду (4 - 5 - 6)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планується погасити</w:t>
              <w:br/>
              <w:t xml:space="preserve">кредиторську</w:t>
              <w:br/>
              <w:t xml:space="preserve">заборгованість за</w:t>
              <w:br/>
              <w:t xml:space="preserve">рахунок коштів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очікуваний</w:t>
              <w:br/>
              <w:t xml:space="preserve">обсяг</w:t>
              <w:br/>
              <w:t xml:space="preserve">взяття</w:t>
              <w:br/>
              <w:t xml:space="preserve">поточних</w:t>
              <w:br/>
              <w:t xml:space="preserve">зобов'язань</w:t>
              <w:br/>
              <w:t xml:space="preserve">(8-10)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загального фонду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спеціального фонду</w:t>
            </w: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загального фонду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спеціального фонду</w:t>
            </w: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2282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117 000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117 000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248 690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248 690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117 000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117 000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248 690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248 690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gridSpan w:val="17"/>
            <w:tcMar>
              <w:top w:w="8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3) дебіторська заборгованість у 2023-2024 роках: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7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  <w:br/>
              <w:t xml:space="preserve">Економічної</w:t>
              <w:br/>
              <w:t xml:space="preserve">класифікації</w:t>
              <w:br/>
              <w:t xml:space="preserve">видатків</w:t>
              <w:br/>
              <w:t xml:space="preserve">бюджету / код</w:t>
              <w:br/>
              <w:t xml:space="preserve">Класифікації</w:t>
              <w:br/>
              <w:t xml:space="preserve">кредитування</w:t>
              <w:br/>
              <w:t xml:space="preserve">бюджету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Затверджено з урахуванням змін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Касові видатки / надання кредитів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Дебіторська заборгованість на 01.01.2023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Дебіторська заборгованість на 01.01.2024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Очікувана дебіторська заборгованість на 01.01.2025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Причини виникнення заборгованості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Вжиті заходи щодо ліквідації заборгованості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7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2282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52 000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51 926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52 000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51 926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40"/>
        <w:gridCol w:w="8440"/>
        <w:gridCol w:w="1400"/>
        <w:gridCol w:w="4800"/>
        <w:gridCol w:w="1320"/>
        <w:gridCol w:w="80"/>
        <w:gridCol w:w="36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40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4) аналіз управління бюджетними зобов'язаннями та пропозиції щодо упорядкування бюджетних зобов'язань у 2025 році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>
            <w:pPr>
              <w:ind w:left="400"/>
              <w:jc w:val="both"/>
              <w:spacing w:lineRule="auto" w:line="240" w:after="200" w:before="0"/>
            </w:pPr>
            <w:r>
              <w:rPr>
                <w:rFonts w:ascii="Times New Roman" w:hAnsi="Times New Roman" w:eastAsia="Times New Roman" w:cs="Times New Roman"/>
              </w:rPr>
              <w:t xml:space="preserve">Дебіторська та кредиторська заборгованість у 2025 році не очікується.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4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15. Підстави та обґрунтування видатків спеціального фонду на 2025 рік та на 2026 - 2027 роки за рахунок надходжень до спеціального фонду, аналіз результатів, досягнутих внаслідок використання коштів спеціального фонду бюджету у 2024 році, та очікувані результати у 2025 році.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>
            <w:pPr>
              <w:ind/>
              <w:jc w:val="both"/>
              <w:spacing w:lineRule="auto" w:line="240" w:after="200" w:before="0"/>
            </w:pPr>
            <w:r>
              <w:rPr>
                <w:rFonts w:ascii="Times New Roman" w:hAnsi="Times New Roman" w:eastAsia="Times New Roman" w:cs="Times New Roman"/>
              </w:rPr>
              <w:t xml:space="preserve">За рахунок надходження від екологічного податку на 2025 рік заплановано кошти в сумі 248690,00 гривень.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 w:right="6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Начальник Управління ЖКГ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Надія КУСЛІЙ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(підпис)</w:t>
            </w: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(прізвище та ініціали)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Головний бухгалтер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Наталія ГОРДІШЕВСЬКА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(підпис)</w:t>
            </w: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(прізвище та ініціали)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6840" w:h="11900" w:orient="landscape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sz w:val="1.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