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40"/>
        <w:gridCol w:w="560"/>
        <w:gridCol w:w="240"/>
        <w:gridCol w:w="1920"/>
        <w:gridCol w:w="580"/>
        <w:gridCol w:w="1100"/>
        <w:gridCol w:w="660"/>
        <w:gridCol w:w="440"/>
        <w:gridCol w:w="900"/>
        <w:gridCol w:w="420"/>
        <w:gridCol w:w="680"/>
        <w:gridCol w:w="1100"/>
        <w:gridCol w:w="1100"/>
        <w:gridCol w:w="140"/>
        <w:gridCol w:w="20"/>
        <w:gridCol w:w="740"/>
        <w:gridCol w:w="1100"/>
        <w:gridCol w:w="1100"/>
        <w:gridCol w:w="540"/>
        <w:gridCol w:w="240"/>
        <w:gridCol w:w="320"/>
        <w:gridCol w:w="900"/>
        <w:gridCol w:w="1100"/>
        <w:gridCol w:w="60"/>
        <w:gridCol w:w="80"/>
        <w:gridCol w:w="36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індивідуальний ( Форма 2025-2)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1.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2.  </w:t>
            </w:r>
          </w:p>
        </w:tc>
        <w:tc>
          <w:tcPr>
            <w:gridSpan w:val="1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3.  </w:t>
            </w: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1210160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0160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0111</w:t>
            </w:r>
          </w:p>
        </w:tc>
        <w:tc>
          <w:tcPr>
            <w:gridSpan w:val="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Мета та завдання бюджетної програми на 2025 - 2027 роки: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Мета бюджетної програми, строки її реалізації;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ефективної діяльності відповідного органу місцевої влади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 завдання бюджетної програми;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виконання наданих законодавством повноважень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підстави реалізації бюджетної програми.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500"/>
            </w:pPr>
            <w:r>
              <w:rPr>
                <w:rFonts w:ascii="Times New Roman" w:hAnsi="Times New Roman" w:eastAsia="Times New Roman" w:cs="Times New Roman"/>
              </w:rPr>
              <w:t xml:space="preserve">1. Конституція України; 2. Бюджетний Кодекс України; 3. Закон України "Про Державний бюджет на 2025 рік"; 4. Закон України "Про місцеве самоврядування в Україні"; 5. Наказ Міністерства фінансів України від 15.06.2023 року №322  "Про затвердження Типового переліку результативних показників бюджетних програм місцевих бюджетів  у галузі "Державне управління"; 6. Правила складання паспортів бюджетних програм місцевих бюджетів  та  звітів про їх виконання затверджені наказом Міністерства фінансів України від 26.08.2014 року №836 (із змінами та доповненнями); 7. Наказ Міністерства фінансів України від 20.09.2017 року №793 (із змінами та доповненнями) "Про затвердження складових Програмної класифікації видатків та кредитування місцевого бюджету"; 8. Постанова КМУ від 28.02.2002 року №228 "Про затвердження Порядку складання, розгляду, затвердження та основних вимог до виконання кошторисів бюджетних установ"; 9. Рішення Біляївської міської ради від 21.12.2021 №489-16/VIII "Стратегія розвитку Біляївської міської територіальної громади Одеської області 2031 року".</w:t>
              <w:br/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5. Надходження для виконання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надходження для виконання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800"/>
        <w:gridCol w:w="200"/>
        <w:gridCol w:w="2300"/>
        <w:gridCol w:w="680"/>
        <w:gridCol w:w="420"/>
        <w:gridCol w:w="580"/>
        <w:gridCol w:w="520"/>
        <w:gridCol w:w="480"/>
        <w:gridCol w:w="420"/>
        <w:gridCol w:w="580"/>
        <w:gridCol w:w="520"/>
        <w:gridCol w:w="480"/>
        <w:gridCol w:w="620"/>
        <w:gridCol w:w="380"/>
        <w:gridCol w:w="720"/>
        <w:gridCol w:w="280"/>
        <w:gridCol w:w="620"/>
        <w:gridCol w:w="380"/>
        <w:gridCol w:w="720"/>
        <w:gridCol w:w="280"/>
        <w:gridCol w:w="820"/>
        <w:gridCol w:w="180"/>
        <w:gridCol w:w="920"/>
        <w:gridCol w:w="80"/>
        <w:gridCol w:w="820"/>
        <w:gridCol w:w="180"/>
        <w:gridCol w:w="920"/>
        <w:gridCol w:w="60"/>
        <w:gridCol w:w="20"/>
        <w:gridCol w:w="20"/>
        <w:gridCol w:w="40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фонду 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1 979 761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1 979 761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2 950 397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2 950 397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4 016 000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4 016 000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25020100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Благодійні внески, гранти та дарунки 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208400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Кошти, що передаються із загального фонду бюджету до бюджету розвитку (спеціального фонду)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1 979 761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2 063 946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2 950 397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4 228 450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4 016 000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4 016 000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надходження для виконання бюджетної програми у 2026-2027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2026 рік (прогноз)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 числі бюджет 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i w:val="true"/>
              </w:rPr>
              <w:t xml:space="preserve">Надходження із загального фонду бюджету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4 433 664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4 433 664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4 695 250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4 695 250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УСЬОГО: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4 433 664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4 433 664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4 695 250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4 695 250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6. Витрати за кодами Економічної класифікації видатків / Класифікації кредитування бюджету: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видатки за кодами Економічної класифікації видатків бюджету у 2023 - 2025 роках: 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Заробітна плата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1 546 460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1 546 460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2 212 251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2 212 251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3 160 664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3 160 664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Нарахування на оплату праці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341 601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341 601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486 696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486 696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695 336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695 336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Предмети, матеріали, обладнання та інвентар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103 150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103 150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2240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Оплата послуг (крім комунальних)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40 900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40 900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148 300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148 300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60 000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60 000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3110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обладнання і предметів довгострокового користування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1 979 761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2 063 946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2 950 397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4 228 450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4 016 000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4 016 000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440"/>
        <w:gridCol w:w="298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20"/>
        <w:gridCol w:w="980"/>
        <w:gridCol w:w="2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надання кредитів за кодами Класифікації кредитування бюджету у 2023 - 2025 роках: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видатки за кодами Економічної класифікації видатків бюджету у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Заробітна плата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3 489 373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3 489 373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3 695 246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3 695 246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Нарахування на оплату праці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767 651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767 651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812 942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812 942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Предмети, матеріали, обладнання та інвентар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116 914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116 914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Оплата послуг (крім комунальних)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66 240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66 240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70 148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70 148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ВСЬОГО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4 433 664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4 433 664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4 695 250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4 695 250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надання кредитів за кодами Класифікації кредитування бюджету у   2026 - 2027 роках: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7. Витрати за напрямами використання бюджетних коштів: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витрати за напрямами використання бюджетних коштів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2023 рік(звіт)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2024 рік(затверджено)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(11+12)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00"/>
        <w:gridCol w:w="80"/>
        <w:gridCol w:w="92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920"/>
        <w:gridCol w:w="80"/>
        <w:gridCol w:w="2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виконання наданих законодавством повноважень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1 979 761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2 063 946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2 950 397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4 228 450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4 016 000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4 016 000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1 979 761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2 063 946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2 950 397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1 278 053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4 228 450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4 016 000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4 016 000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витрати за напрямами використання бюджетних коштів у  2026 - 2027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Напрями</w:t>
              <w:br/>
              <w:t xml:space="preserve">використання</w:t>
              <w:br/>
              <w:t xml:space="preserve">бюджетних</w:t>
              <w:br/>
              <w:t xml:space="preserve">коштів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(3+4)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</w:t>
              <w:br/>
              <w:t xml:space="preserve">числі</w:t>
              <w:br/>
              <w:t xml:space="preserve">бюджет</w:t>
              <w:br/>
              <w:t xml:space="preserve">розвитку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(7+8)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виконання наданих законодавством повноважень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4 433 664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4 433 664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4 695 250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4 695 250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4 433 664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4 433 664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4 695 250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4 695 250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8. Результативні показники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результативні показники бюджетної програми у 2023 - 2025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(11 + 12)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штатних одиниць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штатний розпис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витрати на матеріально - технічне забезпечення (предмети, матеріали, обладнання та інвентар)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50800,00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50800,00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108150,00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108150,00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100000,00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100000,00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витрати на оновлення матеріально - технічної бази (придбання обладнання і предметів довгострокового користування)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84185,00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84185,00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витрати на оплату праці і нарахування на заробітну плату 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1888061,49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1888061,49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2698947,00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2698947,00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3856000,00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3856000,00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інші видатки, які не мають постійного характеру в бюджетних періодах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40900,00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40900,00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143300,00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143300,00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60000,00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60000,00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вартість отриманої благодійної допомоги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акт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1278053,00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1278053,00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листів, звернень тощо 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журнал реєстрації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683,00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683,00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місцевих/цільових програм, що реалізуються на теріторії громади 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отриманого обладнання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шт.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акт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виконаних листів, звернень, заяв тощо на одного працівника 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600"/>
        <w:gridCol w:w="3420"/>
        <w:gridCol w:w="1080"/>
        <w:gridCol w:w="184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оплату праці і нарахування на заробітну плату однієї штатної одиниці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269723,07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269723,07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299883,00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299883,00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428444,44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428444,44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забезпечення матеріально - техніними ресурсами однієї штатної одиниці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7257,14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7257,14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12016,67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12016,67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11111,11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11111,11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оновлення матеріально - технічної бази однієї штатної одиниці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12026,43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12026,43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забезпечення інших видатків , які не мають постійного характеру в бюджетних періодах , однієї штатної одиниці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5842,86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5842,86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15922,22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15922,22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6666,66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6666,66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середня вартість 1 отриманого обладнання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639026,50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639026,50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відсоток вчасно виконаних листів, звернень тощо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результативні показники бюджетної програми у   2026-2027 роках: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Показники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Джерело інформації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(5 + 6)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разом</w:t>
              <w:br/>
              <w:t xml:space="preserve">(8 + 9)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штатних одиниць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штатний розпис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витрати на матеріально - технічне забезпечення (предмети, матеріали, обладнання та інвентар)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110400,00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110400,00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116914,00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116914,00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витрати на оплату праці і нарахування на заробітну плату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4257024,00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4257024,00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4508188,00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4508188,00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інші видатки, які не мають постійного характеру в бюджетних періодах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66240,00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66240,00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70148,00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70148,00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листів, звернень тощо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журнал реєстрації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виконаних листів, звернень, заяв тощо на одного працівника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рішення сесії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89,00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оплату праці і нарахування на заробітну плату однієї штатної одиниці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473002,67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473002,67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500909,78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500909,78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забезпечення матеріально - техніними ресурсами однієї штатної одиниці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12266,67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12266,67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12990,44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12990,44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середні витрати на забезпечення інших видатків , які не мають постійного характеру в бюджетних періодах , однієї штатної одиниці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7360,00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7794,22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7794,22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600"/>
        <w:gridCol w:w="2720"/>
        <w:gridCol w:w="900"/>
        <w:gridCol w:w="860"/>
        <w:gridCol w:w="40"/>
        <w:gridCol w:w="900"/>
        <w:gridCol w:w="60"/>
        <w:gridCol w:w="840"/>
        <w:gridCol w:w="160"/>
        <w:gridCol w:w="740"/>
        <w:gridCol w:w="260"/>
        <w:gridCol w:w="640"/>
        <w:gridCol w:w="360"/>
        <w:gridCol w:w="540"/>
        <w:gridCol w:w="460"/>
        <w:gridCol w:w="440"/>
        <w:gridCol w:w="560"/>
        <w:gridCol w:w="340"/>
        <w:gridCol w:w="660"/>
        <w:gridCol w:w="240"/>
        <w:gridCol w:w="760"/>
        <w:gridCol w:w="140"/>
        <w:gridCol w:w="860"/>
        <w:gridCol w:w="40"/>
        <w:gridCol w:w="900"/>
        <w:gridCol w:w="60"/>
        <w:gridCol w:w="840"/>
        <w:gridCol w:w="80"/>
        <w:gridCol w:w="40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9. Структура видатків на оплату праці: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Обов’язкові виплати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557 053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1 122 977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1 704 020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1 881 239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1 992 232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у т.ч. посадовий оклад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446 446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613 861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938 640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1 036 259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1 097 398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Премії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508 132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652 772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1 012 884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1 118 224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1 184 199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Матеріальна допомога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203 756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301 337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431 949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476 871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505 007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у т.ч. на оздоровлення при наданні щорічної відпустки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101 878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157 296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220 917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243 892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258 282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Стимулюючі доплати та надбавки, що носять необов’язковий характер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277 519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135 165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11 811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13 039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13 808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у т.ч. стимулюючі доплати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2 240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4 200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6 568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7 251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7 679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у т.ч. надбавки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151 608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374 326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542 196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598 583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633 900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Інші виплати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1 546 460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2 212 251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3 160 664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3 489 373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3 695 246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10. Чисельність зайнятих у бюджетних установах: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N</w:t>
              <w:br/>
              <w:t xml:space="preserve">з/п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Категорії працівників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затверджено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фактично</w:t>
              <w:br/>
              <w:t xml:space="preserve">зайняті</w:t>
            </w: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Керівники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Спеціалісти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Інші працівники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9,00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0,00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9"/>
            <w:tcMar>
              <w:top w:w="120" w:type="dxa"/>
              <w:left w:w="0" w:type="dxa"/>
              <w:bottom w:w="0" w:type="dxa"/>
              <w:right w:w="0" w:type="dxa"/>
            </w:tcMar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sz w:val="22.0"/>
                <w:b w:val="true"/>
              </w:rPr>
              <w:t xml:space="preserve">11. Місцеві/регіональні програми, які виконуються в межах бюджетної програми: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9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380"/>
        <w:gridCol w:w="2200"/>
        <w:gridCol w:w="580"/>
        <w:gridCol w:w="480"/>
        <w:gridCol w:w="1100"/>
        <w:gridCol w:w="1100"/>
        <w:gridCol w:w="1000"/>
        <w:gridCol w:w="100"/>
        <w:gridCol w:w="1000"/>
        <w:gridCol w:w="100"/>
        <w:gridCol w:w="900"/>
        <w:gridCol w:w="200"/>
        <w:gridCol w:w="900"/>
        <w:gridCol w:w="200"/>
        <w:gridCol w:w="800"/>
        <w:gridCol w:w="300"/>
        <w:gridCol w:w="800"/>
        <w:gridCol w:w="300"/>
        <w:gridCol w:w="700"/>
        <w:gridCol w:w="400"/>
        <w:gridCol w:w="700"/>
        <w:gridCol w:w="400"/>
        <w:gridCol w:w="600"/>
        <w:gridCol w:w="500"/>
        <w:gridCol w:w="220"/>
        <w:gridCol w:w="40"/>
        <w:gridCol w:w="4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місцеві/регіональні програми, які виконуються в межах бюджетної програми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(10 + 11)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місцеві/регіональні програми, які виконуються в межах бюджетної програми у 2026-2027 роках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№ з/п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  <w:br/>
              <w:t xml:space="preserve">місцевої/регіональної</w:t>
              <w:br/>
              <w:t xml:space="preserve">програми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Коли та яким документом</w:t>
              <w:br/>
              <w:t xml:space="preserve">затверджена програма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(4 + 5)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 фонд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разом</w:t>
              <w:br/>
              <w:t xml:space="preserve">(7 + 8)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12. Об'єкти, які виконуються в межах бюджетної програми за рахунок коштів бюджету розвитку у 2023 - 2025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об'єкта</w:t>
              <w:br/>
              <w:t xml:space="preserve">відповідно до проектно-</w:t>
              <w:br/>
              <w:t xml:space="preserve">кошторисної документації</w:t>
              <w:br/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Строк</w:t>
              <w:br/>
              <w:t xml:space="preserve">реалізації</w:t>
              <w:br/>
              <w:t xml:space="preserve">об'єкта (рік початку і завершення)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Загальна</w:t>
              <w:br/>
              <w:t xml:space="preserve">вартість</w:t>
              <w:br/>
              <w:t xml:space="preserve">об'єкта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 (звіт)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 (затверджено)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 (проект)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 (прогноз)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 (прогноз)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спеціальний</w:t>
              <w:br/>
              <w:t xml:space="preserve">фонд</w:t>
              <w:br/>
              <w:t xml:space="preserve">(бюджет</w:t>
              <w:br/>
              <w:t xml:space="preserve">розвитку)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рівень</w:t>
              <w:br/>
              <w:t xml:space="preserve">будівельної</w:t>
              <w:br/>
              <w:t xml:space="preserve">готовності</w:t>
              <w:br/>
              <w:t xml:space="preserve">об'єкта на</w:t>
              <w:br/>
              <w:t xml:space="preserve">кінець</w:t>
              <w:br/>
              <w:t xml:space="preserve">бюджетного</w:t>
              <w:br/>
              <w:t xml:space="preserve">періоду, 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персонального комп’ютера в комплекті (монітор, системний блок, маніпулятор-миша, клавіатура, мережевий фільтр)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2023-2023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24 985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персонального комп’ютера в комплекті (монітор, системний блок, маніпулятор-миша, клавіатура, мережевий фільтр)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2023-2023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персонального комп’ютера в комплекті (монітор, системний блок, маніпулятор-миша, клавіатура, мережевий фільтр)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2023-2023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монітору ASUS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2023-2023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9 200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13. Аналіз результатів, досягнутих внаслідок використання коштів загального фонду бюджету у 2023 році, очікувані результати у 2024 році, обґрунтування необхідності передбачення витрат на 2025 - 2027 роки.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Видатки на утримання управління здійснювались в межах взятих зобов’язань. В 2023 році використано кошти в сумі 1979761,49 гривень загальний фонд, 84185,00 гривень спеціальний фонд. На 2024 рік заплановано кошти в сумі 2950397,00 гривень загальний фонд. На 2025 рік граничний обсяг складає 4093782,00 гривень.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1140"/>
        <w:gridCol w:w="2840"/>
        <w:gridCol w:w="1200"/>
        <w:gridCol w:w="1200"/>
        <w:gridCol w:w="1200"/>
        <w:gridCol w:w="1200"/>
        <w:gridCol w:w="1200"/>
        <w:gridCol w:w="1200"/>
        <w:gridCol w:w="1200"/>
        <w:gridCol w:w="1200"/>
        <w:gridCol w:w="460"/>
        <w:gridCol w:w="740"/>
        <w:gridCol w:w="126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14. Бюджетні зобов'язання у 2023 і 2025 роках :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1) кредиторська заборгованість місцевого бюджету у 2023 році: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</w:t>
              <w:br/>
              <w:t xml:space="preserve">видатки /</w:t>
              <w:br/>
              <w:t xml:space="preserve">надання</w:t>
              <w:br/>
              <w:t xml:space="preserve">кредитів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минулого бюджетного періоду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кінець минулого бюджетного періоду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Зміна кредиторської заборгованості(6-5)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Погашено кредиторську</w:t>
              <w:br/>
              <w:t xml:space="preserve">заборгованість за рахунок</w:t>
              <w:br/>
              <w:t xml:space="preserve">коштів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Бюджетні зобов'язання (4+6)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Заробітна плата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1 694 748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1 546 460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1 546 460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2120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Нарахування на оплату праці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372 852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341 601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341 601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Предмети, матеріали, обладнання та інвентар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50 800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50 800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50 800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2240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Оплата послуг (крім комунальних)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40 900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40 900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40 900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3110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обладнання і предметів довгострокового користування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84 200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2 243 500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2 063 946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2 063 946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2) кредиторська заборгованість місцевого бюджету у   2024-2025 роках: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2024 рік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2025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затверджені призначення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кредиторська заборгованість на початок поточного бюджетного періоду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 обсяг взяття поточних зобов'язань</w:t>
              <w:br/>
              <w:t xml:space="preserve">(3-5)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граничний обсяг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можлива кредиторська заборгованість на початок планового бюджетного періоду (4 - 5 - 6)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планується погасити</w:t>
              <w:br/>
              <w:t xml:space="preserve">кредиторську</w:t>
              <w:br/>
              <w:t xml:space="preserve">заборгованість за</w:t>
              <w:br/>
              <w:t xml:space="preserve">рахунок коштів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очікуваний</w:t>
              <w:br/>
              <w:t xml:space="preserve">обсяг</w:t>
              <w:br/>
              <w:t xml:space="preserve">взяття</w:t>
              <w:br/>
              <w:t xml:space="preserve">поточних</w:t>
              <w:br/>
              <w:t xml:space="preserve">зобов'язань</w:t>
              <w:br/>
              <w:t xml:space="preserve">(8-10)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загального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спеціального фонду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Заробітна плата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2 212 251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2 212 251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3 224 412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3 224 412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Нарахування на оплату праці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486 696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486 696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709 370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709 370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Предмети, матеріали, обладнання та інвентар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103 150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103 150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Оплата послуг (крім комунальних)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148 300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148 300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2 950 397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2 950 397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4 093 782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4 093 782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8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3) дебіторська заборгованість у 2023-2024 роках: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40"/>
        <w:gridCol w:w="1100"/>
        <w:gridCol w:w="3900"/>
        <w:gridCol w:w="1400"/>
        <w:gridCol w:w="1400"/>
        <w:gridCol w:w="640"/>
        <w:gridCol w:w="760"/>
        <w:gridCol w:w="640"/>
        <w:gridCol w:w="760"/>
        <w:gridCol w:w="1400"/>
        <w:gridCol w:w="2000"/>
        <w:gridCol w:w="640"/>
        <w:gridCol w:w="1320"/>
        <w:gridCol w:w="40"/>
        <w:gridCol w:w="40"/>
        <w:gridCol w:w="36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</w:t>
              <w:br/>
              <w:t xml:space="preserve">Економічної</w:t>
              <w:br/>
              <w:t xml:space="preserve">класифікації</w:t>
              <w:br/>
              <w:t xml:space="preserve">видатків</w:t>
              <w:br/>
              <w:t xml:space="preserve">бюджету / код</w:t>
              <w:br/>
              <w:t xml:space="preserve">Класифікації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Затверджено з урахуванням змін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Касові видатки / надання кредитів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Дебіторська заборгованість на 01.01.2024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Очікувана дебіторська заборгованість на 01.01.2025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Причини виникнення заборгованості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Вжиті заходи щодо ліквідації заборгованості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Заробітна плата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1 694 748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1 546 460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2120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Нарахування на оплату праці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372 852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341 601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Предмети, матеріали, обладнання та інвентар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50 800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2240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Оплата послуг (крім комунальних)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40 900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40 900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3110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Придбання обладнання і предметів довгострокового користування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84 200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2 243 500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2 063 946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40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4) аналіз управління бюджетними зобов'язаннями та пропозиції щодо упорядкування бюджетних зобов'язань у 2025 році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 w:left="400"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Дебіторська та кредиторська заборгованість у 2025 році не очікується.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15. Підстави та обґрунтування видатків спеціального фонду на 2025 рік та на 2026 - 2027 роки за рахунок надходжень до спеціального фонду, аналіз результатів, досягнутих внаслідок використання коштів спеціального фонду бюджету у 2024 році, та очікувані результати у 2025 році.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>
            <w:pPr>
              <w:ind/>
              <w:jc w:val="both"/>
              <w:spacing w:lineRule="auto" w:line="240" w:after="200" w:before="0"/>
            </w:pPr>
            <w:r>
              <w:rPr>
                <w:rFonts w:ascii="Times New Roman" w:hAnsi="Times New Roman" w:eastAsia="Times New Roman" w:cs="Times New Roman"/>
              </w:rPr>
              <w:t xml:space="preserve">За спеціальним фондом видатки не передбачено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(прізвище та ініціали)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