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20"/>
        <w:gridCol w:w="20"/>
        <w:gridCol w:w="560"/>
        <w:gridCol w:w="960"/>
        <w:gridCol w:w="1200"/>
        <w:gridCol w:w="2340"/>
        <w:gridCol w:w="360"/>
        <w:gridCol w:w="1400"/>
        <w:gridCol w:w="1400"/>
        <w:gridCol w:w="1400"/>
        <w:gridCol w:w="40"/>
        <w:gridCol w:w="200"/>
        <w:gridCol w:w="1160"/>
        <w:gridCol w:w="2320"/>
        <w:gridCol w:w="240"/>
        <w:gridCol w:w="2360"/>
        <w:gridCol w:w="20"/>
        <w:gridCol w:w="44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Borders>
              <w:bottom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додатковий ( Форма 2025-3 )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</w:p>
        </w:tc>
        <w:tc>
          <w:tcPr>
            <w:gridSpan w:val="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2.  </w:t>
            </w:r>
          </w:p>
        </w:tc>
        <w:tc>
          <w:tcPr>
            <w:gridSpan w:val="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3.  </w:t>
            </w:r>
          </w:p>
        </w:tc>
        <w:tc>
          <w:tcPr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1217412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7412</w:t>
            </w:r>
          </w:p>
        </w:tc>
        <w:tc>
          <w:tcPr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0451</w:t>
            </w:r>
          </w:p>
        </w:tc>
        <w:tc>
          <w:tcPr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Регулювання цін на послуги місцевого автотранспорту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Додаткові витрати місцевого бюджету: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додаткові витрати на 2025 (плановий) рік  за бюджетними програмами: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Економічної класифікації</w:t>
              <w:br/>
              <w:t xml:space="preserve">видатків бюджету / код Класифікації</w:t>
              <w:br/>
              <w:t xml:space="preserve">кредитування бюджету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</w:t>
              <w:br/>
              <w:t xml:space="preserve">(звіт)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</w:t>
              <w:br/>
              <w:t xml:space="preserve">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Обґрунтування необхідності додаткових коштів на 2025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граничний обсяг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необхідно додатково+</w:t>
            </w: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154 529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Додаткові кошти необхідні для стабільних та якісних транспортних послуг, що в свою чергу дасть змогу громадянам покращити рівень їх життєдіяльності, запобігти виникненю соціальної напруги, конфліктної ситуації між пасажирами та перевізниками, забезпечити потреби мешканців громади в наданні якісних послуг в сфері пасажирських перевезень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154 529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Зміна результативних показників, які характеризують виконання бюджетної програми у разі передбачення додаткових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 в межах доведених граничних обсягів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 зміни у разі виділення додаткових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 різниця в цінах внаслідок регулювання рівня тарифів на перевезення, яку необхідно відшкодувати  (АТП- вул.Генерала Глібова)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54925,01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84887,94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різниця в цінах внаслідок регулювання рівня тарифів на перевезення, яку необхідно відшкодувати (АТП-вул.Садова)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45074,99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69641,35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кількість перевезених пасажирів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осіб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41297,00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63816,00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кількість перевезених пасажирів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осіб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2792,00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4315,00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№4 від 24.12.2024 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700"/>
        <w:gridCol w:w="820"/>
        <w:gridCol w:w="2500"/>
        <w:gridCol w:w="1400"/>
        <w:gridCol w:w="1400"/>
        <w:gridCol w:w="1400"/>
        <w:gridCol w:w="800"/>
        <w:gridCol w:w="600"/>
        <w:gridCol w:w="1400"/>
        <w:gridCol w:w="2320"/>
        <w:gridCol w:w="2600"/>
        <w:gridCol w:w="2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розмір видатків з регулювання тарифів у розрахунку на одного пасажира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1,33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1,33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розмір видатків з регулювання тарифів у розрахунку на одного пасажира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16,14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16,14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відс.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відс.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Наслідки у разі, якщо додаткові кошти не будуть передбачені у 2025 роках, та альтернативні заходи, яких необхідно вжити для забезпечення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У разі відсутності додаткових коштів для надання стабільних та якісних транспортних послуг матиме негативні наслідки, що не дасть можливості в повному обсязі покращити питання життєдіяльності громадян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додаткові витрати на  2026-2027 роки за бюджетними програмами: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Економічної класифікації</w:t>
              <w:br/>
              <w:t xml:space="preserve">видатків бюджету / код Класифікації</w:t>
              <w:br/>
              <w:t xml:space="preserve">кредитування 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2026рік (прогноз)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2027рік (прогноз)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Обґрунтування необхідності додаткових коштів на 2026-2027 роки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індикативні прогнозні 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необхідно додатково+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індикативні прогнозні 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необхідно додатково+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116 914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180 665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Додаткові кошти необхідні для стабільних та якісних транспортних послуг, що в свою чергу дасть змогу громадянам покращити рівень їх життєдіяльності, запобігти виникненю соціальної напруги, конфліктної ситуації між пасажирами та перевізниками, забезпечити потреби мешканців громади в наданні якісних послуг в сфері пасажирських перевезень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170 600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116 914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180 665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Зміна результативних показників бюджетної програми у разі передбачення додаткових коштів: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</w:t>
              <w:br/>
              <w:t xml:space="preserve">з/п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 в межах доведених індикативних прогнозних показників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 зміни у разі передбачення додаткових коштів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 в межах доведених індикативних прогнозних показників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 зміни у разі передбачення додаткових коштів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 різниця в цінах внаслідок регулювання рівня тарифів на перевезення, яку необхідно відшкодувати  (АТП- вул.Генерала Глібова)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60 637,21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93 716,29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64 214,81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99 245,19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різниця в цінах внаслідок регулювання рівня тарифів на перевезення, яку необхідно відшкодувати (АТП-вул.Садова)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49 762,79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76 884,05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52 698,79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81 420,20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перевезених пасажирів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41 297,00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63 816,00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41 297,00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63 816,00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№4 від 24.12.2024 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560"/>
        <w:gridCol w:w="140"/>
        <w:gridCol w:w="3320"/>
        <w:gridCol w:w="1400"/>
        <w:gridCol w:w="1400"/>
        <w:gridCol w:w="1400"/>
        <w:gridCol w:w="800"/>
        <w:gridCol w:w="840"/>
        <w:gridCol w:w="1160"/>
        <w:gridCol w:w="2320"/>
        <w:gridCol w:w="580"/>
        <w:gridCol w:w="2020"/>
        <w:gridCol w:w="2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перевезених пасажирів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2 792,00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4 315,00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2 792,00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4 315,00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розмір видатків з регулювання тарифів у розрахунку на одного пасажира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1,47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1,47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1,55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1,55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розмір видатків з регулювання тарифів у розрахунку на одного пасажира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17,82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17,82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18,87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18,87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Наслідки у разі, якщо додаткові кошти не будуть передбачені у 2026 - 2027 роках, та альтернативні заходи, яких необхідно вжити для забезпечення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Додаткові кошти необхідні для стабільних та якісних транспортних послуг, що в свою чергу дасть змогу громадянам покращити рівень їх життєдіяльності, запобігти виникненю соціальної напруги, конфліктної ситуації між пасажирами та перевізниками, забезпечити потреби мешканців громади в наданні якісних послуг в сфері пасажирських перевезень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№4 від 24.12.2024 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