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20"/>
        <w:gridCol w:w="20"/>
        <w:gridCol w:w="560"/>
        <w:gridCol w:w="960"/>
        <w:gridCol w:w="1200"/>
        <w:gridCol w:w="2340"/>
        <w:gridCol w:w="360"/>
        <w:gridCol w:w="1400"/>
        <w:gridCol w:w="1400"/>
        <w:gridCol w:w="1400"/>
        <w:gridCol w:w="40"/>
        <w:gridCol w:w="200"/>
        <w:gridCol w:w="1160"/>
        <w:gridCol w:w="2320"/>
        <w:gridCol w:w="240"/>
        <w:gridCol w:w="2360"/>
        <w:gridCol w:w="20"/>
        <w:gridCol w:w="44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Borders>
              <w:bottom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додатковий ( Форма 2025-3 )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1216020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6020</w:t>
            </w:r>
          </w:p>
        </w:tc>
        <w:tc>
          <w:tcPr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0620</w:t>
            </w:r>
          </w:p>
        </w:tc>
        <w:tc>
          <w:tcPr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Додаткові витрати місцевого бюджету: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додаткові витрати на 2025 (плановий) рік  за бюджетними програмами: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Економічної класифікації</w:t>
              <w:br/>
              <w:t xml:space="preserve">видатків бюджету / код Класифікації</w:t>
              <w:br/>
              <w:t xml:space="preserve">кредитування бюджету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</w:t>
              <w:br/>
              <w:t xml:space="preserve">(звіт)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</w:t>
              <w:br/>
              <w:t xml:space="preserve">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Обґрунтування необхідності додаткових коштів на 2025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граничний обсяг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1 418 565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Можливість провести повну роботу із забезпечення функціонування належної та безперебійної роботи вуличного освітлення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1 418 565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Зміна результативних показників, які характеризують виконання бюджетної програми у разі передбачення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 в межах доведених граничних обсягів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 зміни у разі виділення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обсяг фінансування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2000000,00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1418565,00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кількість спожитої електроенергії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тис.кВт.год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170,11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120,67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середня вартість за 1 кВт/год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грн.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11,76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11,76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динаміка зростання витрат на оплату електроенергії в порівнянні з попереднім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№1 від 23.12.2024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700"/>
        <w:gridCol w:w="820"/>
        <w:gridCol w:w="2500"/>
        <w:gridCol w:w="1400"/>
        <w:gridCol w:w="1400"/>
        <w:gridCol w:w="1400"/>
        <w:gridCol w:w="800"/>
        <w:gridCol w:w="600"/>
        <w:gridCol w:w="1400"/>
        <w:gridCol w:w="2320"/>
        <w:gridCol w:w="2600"/>
        <w:gridCol w:w="2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відсоток фактично профінансованих витрат на електроенергію відповідно до запланованих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відс.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Наслідки у разі, якщо додаткові кошти не будуть передбачені у 2025 роках, та альтернативні заходи, яких необхідно вжити для забезпечення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У разі відсутності додаткових коштів призведе до неможливості провести ровну роботу із забезпечення функціонування вуличного освітлення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додаткові витрати на  2026-2027 роки за бюджетними програмами: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Економічної класифікації</w:t>
              <w:br/>
              <w:t xml:space="preserve">видатків бюджету / код Класифікації</w:t>
              <w:br/>
              <w:t xml:space="preserve">кредитування 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2026рік (прогноз)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2027рік (прогноз)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Обґрунтування необхідності додаткових коштів на 2026-2027 роки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індикативні прогнозні 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індикативні прогнозні 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необхідно додатково+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1 566 060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2 338 260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1 658 507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Можливість провести повну роботу із забезпечення функціонування належної та безперебійної роботи вуличного освітлення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1 566 060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2 338 260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1 658 507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Зміна результативних показників бюджетної програми у разі передбачення додаткових коштів: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</w:t>
              <w:br/>
              <w:t xml:space="preserve">з/п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 в межах доведених індикативних прогнозних показників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 зміни у разі передбачення додаткових коштів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 в межах доведених індикативних прогнозних показників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 зміни у разі передбачення додаткових коштів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2 208 036,00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1 566 060,00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2 338 260,00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1 658 507,00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спожитої електроенергії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тис.кВт.год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170,12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120,67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170,12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120,67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за 1 кВт/год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12,98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12,98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13,75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13,75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динаміка зростання витрат на оплату електроенергії в порівнянні з попереднім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106,00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106,00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відсоток фактично профінансованих витрат на електроенергію відповідно до запланованих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Наслідки у разі, якщо додаткові кошти не будуть передбачені у 2026 - 2027 роках, та альтернативні заходи, яких необхідно вжити для забезпечення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Можливість провести повну роботу із забезпечення функціонування належної та безперебійної роботи вуличного освітлення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№1 від 23.12.2024 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000"/>
        <w:gridCol w:w="7660"/>
        <w:gridCol w:w="1640"/>
        <w:gridCol w:w="4060"/>
        <w:gridCol w:w="2480"/>
      </w:tblGrid>
      <w:tr>
        <w:trPr>
          <w:trHeight w:hRule="exact" w:val="96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